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A035A2" w:rsidRDefault="00C21F6D" w:rsidP="00E7212D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Об участии в федеральном проекте «500+»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0823CB" w:rsidRDefault="00B42AED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 w:rsidRPr="00B42AED">
              <w:rPr>
                <w:szCs w:val="28"/>
              </w:rPr>
              <w:t>Руководителям подведомственных общеобразовательных учреждений</w:t>
            </w:r>
          </w:p>
          <w:p w:rsidR="000823CB" w:rsidRDefault="000823CB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E7212D" w:rsidRDefault="00BE5092" w:rsidP="0035798B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Комитет по образованию администрации </w:t>
      </w:r>
      <w:r w:rsidR="002A4C05">
        <w:rPr>
          <w:szCs w:val="28"/>
        </w:rPr>
        <w:t>У</w:t>
      </w:r>
      <w:r>
        <w:rPr>
          <w:szCs w:val="28"/>
        </w:rPr>
        <w:t>льчского муниципального района</w:t>
      </w:r>
      <w:r w:rsidR="001A10AA">
        <w:rPr>
          <w:szCs w:val="28"/>
        </w:rPr>
        <w:t xml:space="preserve"> </w:t>
      </w:r>
      <w:r w:rsidR="00E7212D">
        <w:rPr>
          <w:szCs w:val="28"/>
        </w:rPr>
        <w:t>информирует, что</w:t>
      </w:r>
      <w:r w:rsidR="0035798B" w:rsidRPr="0035798B">
        <w:t xml:space="preserve"> </w:t>
      </w:r>
      <w:r w:rsidR="0035798B">
        <w:rPr>
          <w:szCs w:val="28"/>
        </w:rPr>
        <w:t>в</w:t>
      </w:r>
      <w:r w:rsidR="0035798B" w:rsidRPr="0035798B">
        <w:rPr>
          <w:szCs w:val="28"/>
        </w:rPr>
        <w:t xml:space="preserve"> рамках реализации нового цикла федерального проекта по организации методической поддержки общеобразовательных организаций, имеющих низкие образовательные результаты обучающихся (школы с низкими образовательными результатами, далее – ШНОР), "500+" </w:t>
      </w:r>
      <w:r w:rsidR="0035798B">
        <w:rPr>
          <w:szCs w:val="28"/>
        </w:rPr>
        <w:t xml:space="preserve"> </w:t>
      </w:r>
      <w:r w:rsidR="0035798B" w:rsidRPr="0035798B">
        <w:rPr>
          <w:szCs w:val="28"/>
        </w:rPr>
        <w:t xml:space="preserve">ФГБУ "Федеральный институт оценки качества образования" </w:t>
      </w:r>
      <w:r w:rsidR="00EC3485">
        <w:rPr>
          <w:szCs w:val="28"/>
        </w:rPr>
        <w:t xml:space="preserve">составил список ШНОР.  Список был составлен </w:t>
      </w:r>
      <w:r w:rsidR="0035798B" w:rsidRPr="0035798B">
        <w:rPr>
          <w:szCs w:val="28"/>
        </w:rPr>
        <w:t xml:space="preserve">на основании анализа результатов процедур оценки качества образования: всероссийских проверочных работ по математике и русскому языку в 5, 6 классах (далее – ВПР), основного государственного экзамена по русскому языку и математике (далее – ОГЭ), единого государственного экзамена по русскому языку, математике (профильный уровень), математике (базовый уровень) (далее – ЕГЭ), </w:t>
      </w:r>
      <w:r w:rsidR="00EC3485">
        <w:rPr>
          <w:szCs w:val="28"/>
        </w:rPr>
        <w:t>проведенных в 2019, 2021 годах.</w:t>
      </w:r>
      <w:proofErr w:type="gramEnd"/>
      <w:r w:rsidR="00EC3485">
        <w:rPr>
          <w:szCs w:val="28"/>
        </w:rPr>
        <w:t xml:space="preserve"> </w:t>
      </w:r>
      <w:r w:rsidR="0035798B" w:rsidRPr="0035798B">
        <w:rPr>
          <w:szCs w:val="28"/>
        </w:rPr>
        <w:t>В список ШНОР включены общеобразовательные организации, в которых не менее 30 % от общего участников оценочной процедуры получили неудовлетворительный результат ("2" по ВПР, не преодолели минимальны</w:t>
      </w:r>
      <w:r w:rsidR="00EC3485">
        <w:rPr>
          <w:szCs w:val="28"/>
        </w:rPr>
        <w:t>й порог баллов по ОГЭ, ЕГЭ). Из списка ШНОР</w:t>
      </w:r>
      <w:r w:rsidR="00C21F6D">
        <w:rPr>
          <w:szCs w:val="28"/>
        </w:rPr>
        <w:t xml:space="preserve"> был составлен список школ</w:t>
      </w:r>
      <w:r w:rsidR="00EC3485">
        <w:rPr>
          <w:szCs w:val="28"/>
        </w:rPr>
        <w:t xml:space="preserve"> </w:t>
      </w:r>
      <w:r w:rsidR="0035798B" w:rsidRPr="0035798B">
        <w:rPr>
          <w:szCs w:val="28"/>
        </w:rPr>
        <w:t>для участия в проекте по организации методической поддержки общеобразовательных организаций, имеющих низкие образова</w:t>
      </w:r>
      <w:r w:rsidR="00C21F6D">
        <w:rPr>
          <w:szCs w:val="28"/>
        </w:rPr>
        <w:t xml:space="preserve">тельные результаты обучающихся </w:t>
      </w:r>
      <w:r w:rsidR="0035798B" w:rsidRPr="0035798B">
        <w:rPr>
          <w:szCs w:val="28"/>
        </w:rPr>
        <w:t>"500+"</w:t>
      </w:r>
      <w:r w:rsidR="005B4CDC">
        <w:rPr>
          <w:szCs w:val="28"/>
        </w:rPr>
        <w:t xml:space="preserve"> (далее – проект 500+)</w:t>
      </w:r>
      <w:r w:rsidR="00C21F6D">
        <w:rPr>
          <w:szCs w:val="28"/>
        </w:rPr>
        <w:t>.</w:t>
      </w:r>
    </w:p>
    <w:p w:rsidR="00C21F6D" w:rsidRDefault="005B4CDC" w:rsidP="0035798B">
      <w:pPr>
        <w:ind w:firstLine="709"/>
        <w:jc w:val="both"/>
        <w:rPr>
          <w:szCs w:val="28"/>
        </w:rPr>
      </w:pPr>
      <w:r>
        <w:rPr>
          <w:szCs w:val="28"/>
        </w:rPr>
        <w:t>Направляем список участников проекта 500+ в 2022 году (Приложение).</w:t>
      </w:r>
    </w:p>
    <w:p w:rsidR="00E7212D" w:rsidRDefault="00E7212D" w:rsidP="00E7212D">
      <w:pPr>
        <w:ind w:firstLine="709"/>
        <w:jc w:val="both"/>
        <w:rPr>
          <w:szCs w:val="28"/>
        </w:rPr>
      </w:pPr>
      <w:r>
        <w:rPr>
          <w:szCs w:val="28"/>
        </w:rPr>
        <w:t xml:space="preserve">Приложение: </w:t>
      </w:r>
      <w:r w:rsidR="00795BCC">
        <w:rPr>
          <w:szCs w:val="28"/>
        </w:rPr>
        <w:t>в электронном виде.</w:t>
      </w:r>
      <w:bookmarkStart w:id="0" w:name="_GoBack"/>
      <w:bookmarkEnd w:id="0"/>
    </w:p>
    <w:p w:rsidR="000C77F1" w:rsidRDefault="000C77F1" w:rsidP="00552C33">
      <w:pPr>
        <w:ind w:firstLine="709"/>
        <w:jc w:val="both"/>
        <w:rPr>
          <w:szCs w:val="28"/>
        </w:rPr>
      </w:pPr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 xml:space="preserve">Р.Н. </w:t>
      </w:r>
      <w:proofErr w:type="spellStart"/>
      <w:r w:rsidR="00AE5CA7">
        <w:rPr>
          <w:szCs w:val="28"/>
        </w:rPr>
        <w:t>Криксин</w:t>
      </w:r>
      <w:proofErr w:type="spellEnd"/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001884" w:rsidRDefault="009B416B" w:rsidP="00B14A2F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2D1D88">
        <w:rPr>
          <w:sz w:val="22"/>
          <w:szCs w:val="22"/>
        </w:rPr>
        <w:t>яксул Лидия Викторовна</w:t>
      </w:r>
      <w:r w:rsidR="00DB1A9C" w:rsidRPr="00DB1A9C">
        <w:rPr>
          <w:sz w:val="22"/>
          <w:szCs w:val="22"/>
        </w:rPr>
        <w:t xml:space="preserve"> 8(42151)5</w:t>
      </w:r>
      <w:r w:rsidR="004D6068">
        <w:rPr>
          <w:sz w:val="22"/>
          <w:szCs w:val="22"/>
        </w:rPr>
        <w:t>-20-36</w:t>
      </w:r>
    </w:p>
    <w:p w:rsidR="000303F5" w:rsidRDefault="000303F5" w:rsidP="00B14A2F">
      <w:pPr>
        <w:spacing w:line="240" w:lineRule="exact"/>
        <w:jc w:val="both"/>
        <w:rPr>
          <w:sz w:val="22"/>
          <w:szCs w:val="22"/>
        </w:rPr>
      </w:pPr>
    </w:p>
    <w:p w:rsidR="00C60740" w:rsidRPr="00C60740" w:rsidRDefault="00C60740" w:rsidP="00B14A2F">
      <w:pPr>
        <w:spacing w:line="240" w:lineRule="exact"/>
        <w:jc w:val="both"/>
        <w:rPr>
          <w:szCs w:val="28"/>
        </w:rPr>
      </w:pPr>
    </w:p>
    <w:p w:rsidR="00C60740" w:rsidRPr="00C60740" w:rsidRDefault="00C60740" w:rsidP="00C60740">
      <w:pPr>
        <w:spacing w:line="240" w:lineRule="exact"/>
        <w:jc w:val="center"/>
        <w:rPr>
          <w:szCs w:val="28"/>
        </w:rPr>
      </w:pPr>
      <w:r w:rsidRPr="00C60740">
        <w:rPr>
          <w:szCs w:val="28"/>
        </w:rPr>
        <w:t>Информационный релиз</w:t>
      </w:r>
    </w:p>
    <w:p w:rsidR="00C60740" w:rsidRDefault="00C60740" w:rsidP="00C60740">
      <w:pPr>
        <w:spacing w:line="240" w:lineRule="exact"/>
        <w:jc w:val="center"/>
        <w:rPr>
          <w:sz w:val="22"/>
          <w:szCs w:val="22"/>
        </w:rPr>
      </w:pPr>
    </w:p>
    <w:p w:rsidR="00C60740" w:rsidRPr="00C60740" w:rsidRDefault="00C60740" w:rsidP="00C60740">
      <w:pPr>
        <w:jc w:val="both"/>
        <w:rPr>
          <w:szCs w:val="28"/>
        </w:rPr>
      </w:pPr>
      <w:r>
        <w:rPr>
          <w:szCs w:val="28"/>
        </w:rPr>
        <w:tab/>
      </w:r>
      <w:r w:rsidRPr="00C60740">
        <w:rPr>
          <w:szCs w:val="28"/>
        </w:rPr>
        <w:t>В 2022 году к проекту «500+» присоединятся новые участники: школы и кураторы, поэтому делимся с вами пятью полезными результатами от участия в проекте, которые могут быть не очевидны для тех, кто только начинает погружаться в содержание «500+»</w:t>
      </w:r>
      <w:r w:rsidR="004431AD">
        <w:rPr>
          <w:szCs w:val="28"/>
        </w:rPr>
        <w:t>:</w:t>
      </w:r>
    </w:p>
    <w:p w:rsidR="00C60740" w:rsidRPr="004431AD" w:rsidRDefault="00C60740" w:rsidP="004431AD">
      <w:pPr>
        <w:jc w:val="center"/>
        <w:rPr>
          <w:b/>
          <w:szCs w:val="28"/>
        </w:rPr>
      </w:pPr>
      <w:r w:rsidRPr="004431AD">
        <w:rPr>
          <w:b/>
          <w:szCs w:val="28"/>
        </w:rPr>
        <w:t>Результат №1. «</w:t>
      </w:r>
      <w:proofErr w:type="spellStart"/>
      <w:r w:rsidRPr="004431AD">
        <w:rPr>
          <w:b/>
          <w:szCs w:val="28"/>
        </w:rPr>
        <w:t>Насмотренность</w:t>
      </w:r>
      <w:proofErr w:type="spellEnd"/>
      <w:r w:rsidRPr="004431AD">
        <w:rPr>
          <w:b/>
          <w:szCs w:val="28"/>
        </w:rPr>
        <w:t>»</w:t>
      </w:r>
    </w:p>
    <w:p w:rsidR="00C60740" w:rsidRPr="00C60740" w:rsidRDefault="00C60740" w:rsidP="00C60740">
      <w:pPr>
        <w:jc w:val="both"/>
        <w:rPr>
          <w:szCs w:val="28"/>
        </w:rPr>
      </w:pPr>
    </w:p>
    <w:p w:rsidR="00C60740" w:rsidRPr="00C60740" w:rsidRDefault="004431AD" w:rsidP="00C60740">
      <w:pPr>
        <w:jc w:val="both"/>
        <w:rPr>
          <w:szCs w:val="28"/>
        </w:rPr>
      </w:pPr>
      <w:r>
        <w:rPr>
          <w:szCs w:val="28"/>
        </w:rPr>
        <w:tab/>
      </w:r>
      <w:r w:rsidR="00C60740" w:rsidRPr="00C60740">
        <w:rPr>
          <w:szCs w:val="28"/>
        </w:rPr>
        <w:t xml:space="preserve">Школы увидят пути возможного развития на примерах других школ-участниц проекта, познакомятся с опытом </w:t>
      </w:r>
      <w:proofErr w:type="spellStart"/>
      <w:r w:rsidR="00C60740" w:rsidRPr="00C60740">
        <w:rPr>
          <w:szCs w:val="28"/>
        </w:rPr>
        <w:t>резильентных</w:t>
      </w:r>
      <w:proofErr w:type="spellEnd"/>
      <w:r w:rsidR="00C60740" w:rsidRPr="00C60740">
        <w:rPr>
          <w:szCs w:val="28"/>
        </w:rPr>
        <w:t xml:space="preserve"> школ. Чем больше изучено решений, тем проще готовить собственную программу развития. </w:t>
      </w:r>
    </w:p>
    <w:p w:rsidR="00C60740" w:rsidRPr="00C60740" w:rsidRDefault="00C60740" w:rsidP="00C60740">
      <w:pPr>
        <w:jc w:val="both"/>
        <w:rPr>
          <w:szCs w:val="28"/>
        </w:rPr>
      </w:pPr>
    </w:p>
    <w:p w:rsidR="00C60740" w:rsidRPr="004431AD" w:rsidRDefault="00C60740" w:rsidP="004431AD">
      <w:pPr>
        <w:jc w:val="center"/>
        <w:rPr>
          <w:b/>
          <w:szCs w:val="28"/>
        </w:rPr>
      </w:pPr>
      <w:r w:rsidRPr="004431AD">
        <w:rPr>
          <w:b/>
          <w:szCs w:val="28"/>
        </w:rPr>
        <w:t>Результат №2. Партнерство</w:t>
      </w:r>
    </w:p>
    <w:p w:rsidR="00C60740" w:rsidRPr="00C60740" w:rsidRDefault="00C60740" w:rsidP="00C60740">
      <w:pPr>
        <w:jc w:val="both"/>
        <w:rPr>
          <w:szCs w:val="28"/>
        </w:rPr>
      </w:pPr>
    </w:p>
    <w:p w:rsidR="00C60740" w:rsidRPr="00C60740" w:rsidRDefault="004431AD" w:rsidP="00C60740">
      <w:pPr>
        <w:jc w:val="both"/>
        <w:rPr>
          <w:szCs w:val="28"/>
        </w:rPr>
      </w:pPr>
      <w:r>
        <w:rPr>
          <w:szCs w:val="28"/>
        </w:rPr>
        <w:tab/>
      </w:r>
      <w:r w:rsidR="00C60740" w:rsidRPr="00C60740">
        <w:rPr>
          <w:szCs w:val="28"/>
        </w:rPr>
        <w:t xml:space="preserve">Школы получат возможность открытого общения и обмена опытом внутри профессионального сообщества «500+» с возможностью дальнейшего выстраивания партнерских отношений. </w:t>
      </w:r>
    </w:p>
    <w:p w:rsidR="00C60740" w:rsidRPr="00C60740" w:rsidRDefault="00C60740" w:rsidP="00C60740">
      <w:pPr>
        <w:jc w:val="both"/>
        <w:rPr>
          <w:szCs w:val="28"/>
        </w:rPr>
      </w:pPr>
    </w:p>
    <w:p w:rsidR="00C60740" w:rsidRPr="004431AD" w:rsidRDefault="00C60740" w:rsidP="004431AD">
      <w:pPr>
        <w:jc w:val="center"/>
        <w:rPr>
          <w:b/>
          <w:szCs w:val="28"/>
        </w:rPr>
      </w:pPr>
      <w:r w:rsidRPr="004431AD">
        <w:rPr>
          <w:b/>
          <w:szCs w:val="28"/>
        </w:rPr>
        <w:t>Результат №3. Повышение квалификации</w:t>
      </w:r>
    </w:p>
    <w:p w:rsidR="00C60740" w:rsidRPr="00C60740" w:rsidRDefault="00C60740" w:rsidP="00C60740">
      <w:pPr>
        <w:jc w:val="both"/>
        <w:rPr>
          <w:szCs w:val="28"/>
        </w:rPr>
      </w:pPr>
    </w:p>
    <w:p w:rsidR="00C60740" w:rsidRPr="00C60740" w:rsidRDefault="004431AD" w:rsidP="00C60740">
      <w:pPr>
        <w:jc w:val="both"/>
        <w:rPr>
          <w:szCs w:val="28"/>
        </w:rPr>
      </w:pPr>
      <w:r>
        <w:rPr>
          <w:szCs w:val="28"/>
        </w:rPr>
        <w:tab/>
      </w:r>
      <w:r w:rsidR="00C60740" w:rsidRPr="00C60740">
        <w:rPr>
          <w:szCs w:val="28"/>
        </w:rPr>
        <w:t xml:space="preserve">Школы получат поддержку при изучении современных методов решения управленческих и педагогических задач посредством общения с экспертами, и предоставления дополнительных видео и текстовых материалов. </w:t>
      </w:r>
    </w:p>
    <w:p w:rsidR="00C60740" w:rsidRPr="00C60740" w:rsidRDefault="00C60740" w:rsidP="00C60740">
      <w:pPr>
        <w:jc w:val="both"/>
        <w:rPr>
          <w:szCs w:val="28"/>
        </w:rPr>
      </w:pPr>
    </w:p>
    <w:p w:rsidR="00C60740" w:rsidRPr="004431AD" w:rsidRDefault="00C60740" w:rsidP="004431AD">
      <w:pPr>
        <w:jc w:val="center"/>
        <w:rPr>
          <w:b/>
          <w:szCs w:val="28"/>
        </w:rPr>
      </w:pPr>
      <w:r w:rsidRPr="004431AD">
        <w:rPr>
          <w:b/>
          <w:szCs w:val="28"/>
        </w:rPr>
        <w:t>Результат №4. Развитие ВСОКО</w:t>
      </w:r>
    </w:p>
    <w:p w:rsidR="00C60740" w:rsidRPr="00C60740" w:rsidRDefault="00C60740" w:rsidP="00C60740">
      <w:pPr>
        <w:jc w:val="both"/>
        <w:rPr>
          <w:szCs w:val="28"/>
        </w:rPr>
      </w:pPr>
    </w:p>
    <w:p w:rsidR="00C60740" w:rsidRPr="00C60740" w:rsidRDefault="004431AD" w:rsidP="00C60740">
      <w:pPr>
        <w:jc w:val="both"/>
        <w:rPr>
          <w:szCs w:val="28"/>
        </w:rPr>
      </w:pPr>
      <w:r>
        <w:rPr>
          <w:szCs w:val="28"/>
        </w:rPr>
        <w:tab/>
      </w:r>
      <w:r w:rsidR="00C60740" w:rsidRPr="00C60740">
        <w:rPr>
          <w:szCs w:val="28"/>
        </w:rPr>
        <w:t xml:space="preserve">Школы освоят навыки комплексной диагностики факторов, влияющих на качество образования в ОО, активации </w:t>
      </w:r>
      <w:proofErr w:type="spellStart"/>
      <w:r w:rsidR="00C60740" w:rsidRPr="00C60740">
        <w:rPr>
          <w:szCs w:val="28"/>
        </w:rPr>
        <w:t>внутришкольной</w:t>
      </w:r>
      <w:proofErr w:type="spellEnd"/>
      <w:r w:rsidR="00C60740" w:rsidRPr="00C60740">
        <w:rPr>
          <w:szCs w:val="28"/>
        </w:rPr>
        <w:t xml:space="preserve"> системы оценки качества образования, и объективной самооценки.</w:t>
      </w:r>
    </w:p>
    <w:p w:rsidR="00C60740" w:rsidRPr="00C60740" w:rsidRDefault="00C60740" w:rsidP="00C60740">
      <w:pPr>
        <w:jc w:val="both"/>
        <w:rPr>
          <w:szCs w:val="28"/>
        </w:rPr>
      </w:pPr>
    </w:p>
    <w:p w:rsidR="00C60740" w:rsidRPr="004431AD" w:rsidRDefault="00C60740" w:rsidP="004431AD">
      <w:pPr>
        <w:jc w:val="center"/>
        <w:rPr>
          <w:b/>
          <w:szCs w:val="28"/>
        </w:rPr>
      </w:pPr>
      <w:r w:rsidRPr="004431AD">
        <w:rPr>
          <w:b/>
          <w:szCs w:val="28"/>
        </w:rPr>
        <w:t>Результат №5. Повышение качества управления</w:t>
      </w:r>
    </w:p>
    <w:p w:rsidR="00C60740" w:rsidRPr="00C60740" w:rsidRDefault="00C60740" w:rsidP="00C60740">
      <w:pPr>
        <w:jc w:val="both"/>
        <w:rPr>
          <w:szCs w:val="28"/>
        </w:rPr>
      </w:pPr>
    </w:p>
    <w:p w:rsidR="00C60740" w:rsidRPr="00C60740" w:rsidRDefault="004431AD" w:rsidP="00C60740">
      <w:pPr>
        <w:jc w:val="both"/>
        <w:rPr>
          <w:szCs w:val="28"/>
        </w:rPr>
      </w:pPr>
      <w:r>
        <w:rPr>
          <w:szCs w:val="28"/>
        </w:rPr>
        <w:tab/>
      </w:r>
      <w:r w:rsidR="00C60740" w:rsidRPr="00C60740">
        <w:rPr>
          <w:szCs w:val="28"/>
        </w:rPr>
        <w:t>Школы научатся внедрять школьные управленческие механизмы в свою деятельность: планировать свою деятельность через постановку актуальных целей и задачи, определять показатели их реализации и внедрять релевантные меры.</w:t>
      </w:r>
    </w:p>
    <w:p w:rsidR="00C60740" w:rsidRDefault="00D4486F" w:rsidP="00C60740">
      <w:pPr>
        <w:jc w:val="both"/>
        <w:rPr>
          <w:szCs w:val="28"/>
        </w:rPr>
      </w:pPr>
      <w:r>
        <w:rPr>
          <w:szCs w:val="28"/>
        </w:rPr>
        <w:tab/>
        <w:t>И к</w:t>
      </w:r>
      <w:r w:rsidR="00C60740" w:rsidRPr="00C60740">
        <w:rPr>
          <w:szCs w:val="28"/>
        </w:rPr>
        <w:t>онечно, самый главный результат участия в проекте – формирование школьной образовательной среды, способной противостоять рискам снижения образовательных результатов.</w:t>
      </w:r>
    </w:p>
    <w:p w:rsidR="00865D21" w:rsidRDefault="00865D21" w:rsidP="00C60740">
      <w:pPr>
        <w:jc w:val="both"/>
        <w:rPr>
          <w:szCs w:val="28"/>
        </w:rPr>
      </w:pPr>
    </w:p>
    <w:p w:rsidR="00865D21" w:rsidRDefault="00865D21" w:rsidP="00C60740">
      <w:pPr>
        <w:jc w:val="both"/>
        <w:rPr>
          <w:szCs w:val="28"/>
        </w:rPr>
      </w:pPr>
    </w:p>
    <w:p w:rsidR="00865D21" w:rsidRDefault="00865D21" w:rsidP="00C60740">
      <w:pPr>
        <w:jc w:val="both"/>
        <w:rPr>
          <w:szCs w:val="28"/>
        </w:rPr>
      </w:pPr>
    </w:p>
    <w:p w:rsidR="00865D21" w:rsidRDefault="00865D21" w:rsidP="00C60740">
      <w:pPr>
        <w:jc w:val="both"/>
        <w:rPr>
          <w:szCs w:val="28"/>
        </w:rPr>
      </w:pPr>
    </w:p>
    <w:p w:rsidR="00865D21" w:rsidRDefault="00865D21" w:rsidP="00C60740">
      <w:pPr>
        <w:jc w:val="both"/>
        <w:rPr>
          <w:szCs w:val="28"/>
        </w:rPr>
      </w:pPr>
    </w:p>
    <w:p w:rsidR="00865D21" w:rsidRPr="00865D21" w:rsidRDefault="00865D21" w:rsidP="00865D21">
      <w:pPr>
        <w:jc w:val="center"/>
        <w:rPr>
          <w:b/>
          <w:szCs w:val="28"/>
        </w:rPr>
      </w:pPr>
      <w:r w:rsidRPr="00865D21">
        <w:rPr>
          <w:b/>
          <w:szCs w:val="28"/>
        </w:rPr>
        <w:t>О каких важных точках должны знать школы при реализации проекта 500+ в 2022 году?</w:t>
      </w:r>
    </w:p>
    <w:p w:rsidR="00865D21" w:rsidRPr="00865D21" w:rsidRDefault="00865D21" w:rsidP="00865D21">
      <w:pPr>
        <w:jc w:val="both"/>
        <w:rPr>
          <w:szCs w:val="28"/>
        </w:rPr>
      </w:pPr>
    </w:p>
    <w:p w:rsidR="00865D21" w:rsidRPr="00865D21" w:rsidRDefault="00865D21" w:rsidP="00865D21">
      <w:pPr>
        <w:jc w:val="both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939790" cy="4454843"/>
            <wp:effectExtent l="0" t="0" r="0" b="0"/>
            <wp:docPr id="1" name="Рисунок 1" descr="C:\Users\aabazgutdinova\Desktop\Проект 500+\Информационное письмо участникам январь\image-11-01-22-10-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bazgutdinova\Desktop\Проект 500+\Информационное письмо участникам январь\image-11-01-22-10-3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21" w:rsidRPr="00865D21" w:rsidRDefault="00865D21" w:rsidP="00865D21">
      <w:pPr>
        <w:jc w:val="both"/>
        <w:rPr>
          <w:szCs w:val="28"/>
        </w:rPr>
      </w:pPr>
    </w:p>
    <w:p w:rsidR="00865D21" w:rsidRPr="00865D21" w:rsidRDefault="002F6571" w:rsidP="00865D21">
      <w:pPr>
        <w:jc w:val="both"/>
        <w:rPr>
          <w:szCs w:val="28"/>
        </w:rPr>
      </w:pPr>
      <w:r>
        <w:rPr>
          <w:szCs w:val="28"/>
        </w:rPr>
        <w:tab/>
      </w:r>
      <w:r w:rsidR="00865D21" w:rsidRPr="00865D21">
        <w:rPr>
          <w:szCs w:val="28"/>
        </w:rPr>
        <w:t>1</w:t>
      </w:r>
      <w:r>
        <w:rPr>
          <w:szCs w:val="28"/>
        </w:rPr>
        <w:t>.</w:t>
      </w:r>
      <w:r w:rsidR="00865D21" w:rsidRPr="00865D21">
        <w:rPr>
          <w:szCs w:val="28"/>
        </w:rPr>
        <w:t xml:space="preserve"> Школы участвуют в анкетировании для разработки рискового профиля</w:t>
      </w:r>
    </w:p>
    <w:p w:rsidR="00865D21" w:rsidRPr="00865D21" w:rsidRDefault="00865D21" w:rsidP="00865D21">
      <w:pPr>
        <w:jc w:val="both"/>
        <w:rPr>
          <w:szCs w:val="28"/>
        </w:rPr>
      </w:pPr>
    </w:p>
    <w:p w:rsidR="00865D21" w:rsidRPr="00865D21" w:rsidRDefault="002F6571" w:rsidP="00865D21">
      <w:pPr>
        <w:jc w:val="both"/>
        <w:rPr>
          <w:szCs w:val="28"/>
        </w:rPr>
      </w:pPr>
      <w:r>
        <w:rPr>
          <w:szCs w:val="28"/>
        </w:rPr>
        <w:tab/>
      </w:r>
      <w:r w:rsidR="00865D21" w:rsidRPr="00865D21">
        <w:rPr>
          <w:szCs w:val="28"/>
        </w:rPr>
        <w:t>Анкетирование проводится в онлайн режиме. Участие в нем принимают учителя, учащиеся, родители.</w:t>
      </w:r>
    </w:p>
    <w:p w:rsidR="00865D21" w:rsidRPr="00865D21" w:rsidRDefault="00865D21" w:rsidP="00865D21">
      <w:pPr>
        <w:jc w:val="both"/>
        <w:rPr>
          <w:szCs w:val="28"/>
        </w:rPr>
      </w:pPr>
    </w:p>
    <w:p w:rsidR="00865D21" w:rsidRPr="00865D21" w:rsidRDefault="002F6571" w:rsidP="00865D21">
      <w:pPr>
        <w:jc w:val="both"/>
        <w:rPr>
          <w:szCs w:val="28"/>
        </w:rPr>
      </w:pPr>
      <w:r>
        <w:rPr>
          <w:szCs w:val="28"/>
        </w:rPr>
        <w:tab/>
      </w:r>
      <w:r w:rsidR="00865D21" w:rsidRPr="00865D21">
        <w:rPr>
          <w:szCs w:val="28"/>
        </w:rPr>
        <w:t>На основании результатов анкетирования разрабатывается рисковый профиль школы (РПШ)</w:t>
      </w:r>
    </w:p>
    <w:p w:rsidR="00865D21" w:rsidRPr="00865D21" w:rsidRDefault="00865D21" w:rsidP="00865D21">
      <w:pPr>
        <w:jc w:val="both"/>
        <w:rPr>
          <w:szCs w:val="28"/>
        </w:rPr>
      </w:pPr>
    </w:p>
    <w:p w:rsidR="00865D21" w:rsidRPr="00865D21" w:rsidRDefault="00865D21" w:rsidP="00865D21">
      <w:pPr>
        <w:jc w:val="both"/>
        <w:rPr>
          <w:szCs w:val="28"/>
        </w:rPr>
      </w:pPr>
      <w:r w:rsidRPr="00865D21">
        <w:rPr>
          <w:szCs w:val="28"/>
        </w:rPr>
        <w:t xml:space="preserve"> </w:t>
      </w:r>
    </w:p>
    <w:p w:rsidR="00865D21" w:rsidRPr="00865D21" w:rsidRDefault="002F6571" w:rsidP="00865D21">
      <w:pPr>
        <w:jc w:val="both"/>
        <w:rPr>
          <w:szCs w:val="28"/>
        </w:rPr>
      </w:pPr>
      <w:r>
        <w:rPr>
          <w:szCs w:val="28"/>
        </w:rPr>
        <w:tab/>
      </w:r>
      <w:r w:rsidR="00865D21" w:rsidRPr="00865D21">
        <w:rPr>
          <w:szCs w:val="28"/>
        </w:rPr>
        <w:t>2</w:t>
      </w:r>
      <w:r>
        <w:rPr>
          <w:szCs w:val="28"/>
        </w:rPr>
        <w:t>.</w:t>
      </w:r>
      <w:r w:rsidR="00865D21" w:rsidRPr="00865D21">
        <w:rPr>
          <w:szCs w:val="28"/>
        </w:rPr>
        <w:t xml:space="preserve"> Школы анализируют свои рисковые профили при поддержке кураторов</w:t>
      </w:r>
    </w:p>
    <w:p w:rsidR="00865D21" w:rsidRPr="00865D21" w:rsidRDefault="00865D21" w:rsidP="00865D21">
      <w:pPr>
        <w:jc w:val="both"/>
        <w:rPr>
          <w:szCs w:val="28"/>
        </w:rPr>
      </w:pPr>
    </w:p>
    <w:p w:rsidR="00865D21" w:rsidRPr="00865D21" w:rsidRDefault="002F6571" w:rsidP="00865D21">
      <w:pPr>
        <w:jc w:val="both"/>
        <w:rPr>
          <w:szCs w:val="28"/>
        </w:rPr>
      </w:pPr>
      <w:r>
        <w:rPr>
          <w:szCs w:val="28"/>
        </w:rPr>
        <w:tab/>
      </w:r>
      <w:r w:rsidR="00865D21" w:rsidRPr="00865D21">
        <w:rPr>
          <w:szCs w:val="28"/>
        </w:rPr>
        <w:t xml:space="preserve">Рисковый профиль школы – это риски, выявленные в ходе анкетирования участников проекта. РПШ содержит несколько направлений (рисков), которые в зависимости от диагностированной ситуации в школе могут иметь статусы: низкий, средний, высокий. Куратор помогает провести </w:t>
      </w:r>
      <w:r w:rsidR="00865D21" w:rsidRPr="00865D21">
        <w:rPr>
          <w:szCs w:val="28"/>
        </w:rPr>
        <w:lastRenderedPageBreak/>
        <w:t xml:space="preserve">внутренний аудит школы, чтобы установить степень актуальности выявленных рисков и определить те, что будут взяты в работу в первую очередь.  </w:t>
      </w:r>
    </w:p>
    <w:p w:rsidR="00865D21" w:rsidRPr="00865D21" w:rsidRDefault="00865D21" w:rsidP="00865D21">
      <w:pPr>
        <w:jc w:val="both"/>
        <w:rPr>
          <w:szCs w:val="28"/>
        </w:rPr>
      </w:pPr>
    </w:p>
    <w:p w:rsidR="00865D21" w:rsidRPr="00865D21" w:rsidRDefault="002F6571" w:rsidP="00865D21">
      <w:pPr>
        <w:jc w:val="both"/>
        <w:rPr>
          <w:szCs w:val="28"/>
        </w:rPr>
      </w:pPr>
      <w:r>
        <w:rPr>
          <w:szCs w:val="28"/>
        </w:rPr>
        <w:tab/>
      </w:r>
      <w:r w:rsidR="00865D21" w:rsidRPr="00865D21">
        <w:rPr>
          <w:szCs w:val="28"/>
        </w:rPr>
        <w:t>3</w:t>
      </w:r>
      <w:r>
        <w:rPr>
          <w:szCs w:val="28"/>
        </w:rPr>
        <w:t>.</w:t>
      </w:r>
      <w:r w:rsidR="00865D21" w:rsidRPr="00865D21">
        <w:rPr>
          <w:szCs w:val="28"/>
        </w:rPr>
        <w:t xml:space="preserve"> Школы размещают в ИС МЭДК свои </w:t>
      </w:r>
      <w:proofErr w:type="spellStart"/>
      <w:r w:rsidR="00865D21" w:rsidRPr="00865D21">
        <w:rPr>
          <w:szCs w:val="28"/>
        </w:rPr>
        <w:t>антирисковые</w:t>
      </w:r>
      <w:proofErr w:type="spellEnd"/>
      <w:r w:rsidR="00865D21" w:rsidRPr="00865D21">
        <w:rPr>
          <w:szCs w:val="28"/>
        </w:rPr>
        <w:t xml:space="preserve"> планы</w:t>
      </w:r>
    </w:p>
    <w:p w:rsidR="00865D21" w:rsidRPr="00865D21" w:rsidRDefault="00865D21" w:rsidP="00865D21">
      <w:pPr>
        <w:jc w:val="both"/>
        <w:rPr>
          <w:szCs w:val="28"/>
        </w:rPr>
      </w:pPr>
    </w:p>
    <w:p w:rsidR="00865D21" w:rsidRPr="00865D21" w:rsidRDefault="002F6571" w:rsidP="00865D21">
      <w:pPr>
        <w:jc w:val="both"/>
        <w:rPr>
          <w:szCs w:val="28"/>
        </w:rPr>
      </w:pPr>
      <w:r>
        <w:rPr>
          <w:szCs w:val="28"/>
        </w:rPr>
        <w:tab/>
      </w:r>
      <w:r w:rsidR="00865D21" w:rsidRPr="00865D21">
        <w:rPr>
          <w:szCs w:val="28"/>
        </w:rPr>
        <w:t xml:space="preserve">ИС МЭДК – это информационная система мониторинга электронных дорожных карт. В ИС МЭДК размещаются РПШ, а также концептуальные документы, создаваемые школой на его основе: Концепция развития школы, Среднесрочная программа развития школы, </w:t>
      </w:r>
      <w:proofErr w:type="spellStart"/>
      <w:r w:rsidR="00865D21" w:rsidRPr="00865D21">
        <w:rPr>
          <w:szCs w:val="28"/>
        </w:rPr>
        <w:t>антирисковые</w:t>
      </w:r>
      <w:proofErr w:type="spellEnd"/>
      <w:r w:rsidR="00865D21" w:rsidRPr="00865D21">
        <w:rPr>
          <w:szCs w:val="28"/>
        </w:rPr>
        <w:t xml:space="preserve"> программы. Ключевой информационный обмен и мониторинг в проекте происходит в ИС МЭДК.</w:t>
      </w:r>
    </w:p>
    <w:p w:rsidR="00865D21" w:rsidRPr="00865D21" w:rsidRDefault="00865D21" w:rsidP="00865D21">
      <w:pPr>
        <w:jc w:val="both"/>
        <w:rPr>
          <w:szCs w:val="28"/>
        </w:rPr>
      </w:pPr>
    </w:p>
    <w:p w:rsidR="00865D21" w:rsidRPr="00865D21" w:rsidRDefault="00865D21" w:rsidP="00865D21">
      <w:pPr>
        <w:jc w:val="both"/>
        <w:rPr>
          <w:szCs w:val="28"/>
        </w:rPr>
      </w:pPr>
      <w:r w:rsidRPr="00865D21">
        <w:rPr>
          <w:szCs w:val="28"/>
        </w:rPr>
        <w:t xml:space="preserve"> </w:t>
      </w:r>
      <w:r w:rsidR="002F6571">
        <w:rPr>
          <w:szCs w:val="28"/>
        </w:rPr>
        <w:tab/>
      </w:r>
      <w:r w:rsidRPr="00865D21">
        <w:rPr>
          <w:szCs w:val="28"/>
        </w:rPr>
        <w:t>4</w:t>
      </w:r>
      <w:r w:rsidR="002F6571">
        <w:rPr>
          <w:szCs w:val="28"/>
        </w:rPr>
        <w:t>.</w:t>
      </w:r>
      <w:r w:rsidRPr="00865D21">
        <w:rPr>
          <w:szCs w:val="28"/>
        </w:rPr>
        <w:t xml:space="preserve"> Централизованный мониторинг 1 этапа реализации планов школ в ИС МЭДК</w:t>
      </w:r>
    </w:p>
    <w:p w:rsidR="00865D21" w:rsidRPr="00865D21" w:rsidRDefault="00865D21" w:rsidP="00865D21">
      <w:pPr>
        <w:jc w:val="both"/>
        <w:rPr>
          <w:szCs w:val="28"/>
        </w:rPr>
      </w:pPr>
    </w:p>
    <w:p w:rsidR="00865D21" w:rsidRPr="00865D21" w:rsidRDefault="002F6571" w:rsidP="00865D21">
      <w:pPr>
        <w:jc w:val="both"/>
        <w:rPr>
          <w:szCs w:val="28"/>
        </w:rPr>
      </w:pPr>
      <w:r>
        <w:rPr>
          <w:szCs w:val="28"/>
        </w:rPr>
        <w:tab/>
      </w:r>
      <w:r w:rsidR="00865D21" w:rsidRPr="00865D21">
        <w:rPr>
          <w:szCs w:val="28"/>
        </w:rPr>
        <w:t xml:space="preserve">Региональные и федеральные эксперты проверяют продвижение участников проекта по запланированным </w:t>
      </w:r>
      <w:proofErr w:type="spellStart"/>
      <w:r w:rsidR="00865D21" w:rsidRPr="00865D21">
        <w:rPr>
          <w:szCs w:val="28"/>
        </w:rPr>
        <w:t>антирисковым</w:t>
      </w:r>
      <w:proofErr w:type="spellEnd"/>
      <w:r w:rsidR="00865D21" w:rsidRPr="00865D21">
        <w:rPr>
          <w:szCs w:val="28"/>
        </w:rPr>
        <w:t xml:space="preserve"> программам. </w:t>
      </w:r>
    </w:p>
    <w:p w:rsidR="00865D21" w:rsidRPr="00865D21" w:rsidRDefault="00865D21" w:rsidP="00865D21">
      <w:pPr>
        <w:jc w:val="both"/>
        <w:rPr>
          <w:szCs w:val="28"/>
        </w:rPr>
      </w:pPr>
    </w:p>
    <w:p w:rsidR="00865D21" w:rsidRPr="00865D21" w:rsidRDefault="002F6571" w:rsidP="00865D21">
      <w:pPr>
        <w:jc w:val="both"/>
        <w:rPr>
          <w:szCs w:val="28"/>
        </w:rPr>
      </w:pPr>
      <w:r>
        <w:rPr>
          <w:szCs w:val="28"/>
        </w:rPr>
        <w:tab/>
      </w:r>
      <w:r w:rsidR="00865D21" w:rsidRPr="00865D21">
        <w:rPr>
          <w:szCs w:val="28"/>
        </w:rPr>
        <w:t>5</w:t>
      </w:r>
      <w:r>
        <w:rPr>
          <w:szCs w:val="28"/>
        </w:rPr>
        <w:t>.</w:t>
      </w:r>
      <w:r w:rsidR="00865D21" w:rsidRPr="00865D21">
        <w:rPr>
          <w:szCs w:val="28"/>
        </w:rPr>
        <w:t xml:space="preserve"> Централизованный мониторинг 2 этапа реализации планов школ в ИС МЭДК</w:t>
      </w:r>
    </w:p>
    <w:p w:rsidR="00865D21" w:rsidRPr="00865D21" w:rsidRDefault="00865D21" w:rsidP="00865D21">
      <w:pPr>
        <w:jc w:val="both"/>
        <w:rPr>
          <w:szCs w:val="28"/>
        </w:rPr>
      </w:pPr>
    </w:p>
    <w:p w:rsidR="00865D21" w:rsidRDefault="002F6571" w:rsidP="00865D21">
      <w:pPr>
        <w:jc w:val="both"/>
        <w:rPr>
          <w:szCs w:val="28"/>
        </w:rPr>
      </w:pPr>
      <w:r>
        <w:rPr>
          <w:szCs w:val="28"/>
        </w:rPr>
        <w:tab/>
      </w:r>
      <w:r w:rsidR="00865D21" w:rsidRPr="00865D21">
        <w:rPr>
          <w:szCs w:val="28"/>
        </w:rPr>
        <w:t>Региональные и федеральные эксперты оценивают эффективность продвижения участников согласно их собственным планам.</w:t>
      </w: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EF2BC1" w:rsidRDefault="00EF2BC1" w:rsidP="004D551E">
      <w:pPr>
        <w:jc w:val="center"/>
        <w:rPr>
          <w:b/>
          <w:szCs w:val="28"/>
        </w:rPr>
      </w:pPr>
    </w:p>
    <w:p w:rsidR="004D551E" w:rsidRPr="004D551E" w:rsidRDefault="004D551E" w:rsidP="004D551E">
      <w:pPr>
        <w:jc w:val="center"/>
        <w:rPr>
          <w:b/>
          <w:szCs w:val="28"/>
        </w:rPr>
      </w:pPr>
      <w:r w:rsidRPr="004D551E">
        <w:rPr>
          <w:b/>
          <w:szCs w:val="28"/>
        </w:rPr>
        <w:t>Что приводит к низким образовательным результатам?</w:t>
      </w:r>
    </w:p>
    <w:p w:rsidR="004D551E" w:rsidRPr="004D551E" w:rsidRDefault="004D551E" w:rsidP="004D551E">
      <w:pPr>
        <w:jc w:val="both"/>
        <w:rPr>
          <w:szCs w:val="28"/>
        </w:rPr>
      </w:pPr>
    </w:p>
    <w:p w:rsidR="004D551E" w:rsidRPr="004D551E" w:rsidRDefault="004D551E" w:rsidP="004D551E">
      <w:pPr>
        <w:jc w:val="both"/>
        <w:rPr>
          <w:szCs w:val="28"/>
        </w:rPr>
      </w:pPr>
    </w:p>
    <w:p w:rsidR="004D551E" w:rsidRPr="004D551E" w:rsidRDefault="004D551E" w:rsidP="004D551E">
      <w:pPr>
        <w:jc w:val="both"/>
        <w:rPr>
          <w:szCs w:val="28"/>
        </w:rPr>
      </w:pPr>
      <w:r>
        <w:rPr>
          <w:szCs w:val="28"/>
        </w:rPr>
        <w:tab/>
      </w:r>
      <w:r w:rsidRPr="004D551E">
        <w:rPr>
          <w:szCs w:val="28"/>
        </w:rPr>
        <w:t xml:space="preserve">Образовательные результаты двух соседних школ могут </w:t>
      </w:r>
      <w:proofErr w:type="gramStart"/>
      <w:r w:rsidRPr="004D551E">
        <w:rPr>
          <w:szCs w:val="28"/>
        </w:rPr>
        <w:t>отличатся</w:t>
      </w:r>
      <w:proofErr w:type="gramEnd"/>
      <w:r w:rsidRPr="004D551E">
        <w:rPr>
          <w:szCs w:val="28"/>
        </w:rPr>
        <w:t xml:space="preserve"> разительно. Почему? Образовательные результаты зависят от нескольких параметров. Во-первых, это "ресурсы", кадровые и материальные. Есть </w:t>
      </w:r>
      <w:proofErr w:type="spellStart"/>
      <w:r w:rsidRPr="004D551E">
        <w:rPr>
          <w:szCs w:val="28"/>
        </w:rPr>
        <w:t>известня</w:t>
      </w:r>
      <w:proofErr w:type="spellEnd"/>
      <w:r w:rsidRPr="004D551E">
        <w:rPr>
          <w:szCs w:val="28"/>
        </w:rPr>
        <w:t xml:space="preserve"> фраза (встречающаяся, в том числе, в книге Андреаса </w:t>
      </w:r>
      <w:proofErr w:type="spellStart"/>
      <w:r w:rsidRPr="004D551E">
        <w:rPr>
          <w:szCs w:val="28"/>
        </w:rPr>
        <w:t>Шляйхера</w:t>
      </w:r>
      <w:proofErr w:type="spellEnd"/>
      <w:r w:rsidRPr="004D551E">
        <w:rPr>
          <w:szCs w:val="28"/>
        </w:rPr>
        <w:t xml:space="preserve">, директора департамента по образованию и навыкам ОЭСР), что результаты школьников не могут превышать уровень компетенций учителей. Результаты исследований подтверждают это наблюдение. Материальная база тоже важна. Известно, например, что наличие компьютеров и качественный интернет </w:t>
      </w:r>
      <w:proofErr w:type="gramStart"/>
      <w:r w:rsidRPr="004D551E">
        <w:rPr>
          <w:szCs w:val="28"/>
        </w:rPr>
        <w:t>связаны</w:t>
      </w:r>
      <w:proofErr w:type="gramEnd"/>
      <w:r w:rsidRPr="004D551E">
        <w:rPr>
          <w:szCs w:val="28"/>
        </w:rPr>
        <w:t xml:space="preserve"> с более высокими результатами в исследованиях. Однако</w:t>
      </w:r>
      <w:proofErr w:type="gramStart"/>
      <w:r w:rsidRPr="004D551E">
        <w:rPr>
          <w:szCs w:val="28"/>
        </w:rPr>
        <w:t>,</w:t>
      </w:r>
      <w:proofErr w:type="gramEnd"/>
      <w:r w:rsidRPr="004D551E">
        <w:rPr>
          <w:szCs w:val="28"/>
        </w:rPr>
        <w:t xml:space="preserve"> здесь нужно сразу оговориться - МТБ не дает прироста качества без соответствующих компетенций учителей, которые готовы использовать материальные ресурсы для поддержания своего преподавания. </w:t>
      </w:r>
    </w:p>
    <w:p w:rsidR="004D551E" w:rsidRPr="004D551E" w:rsidRDefault="004D551E" w:rsidP="004D551E">
      <w:pPr>
        <w:jc w:val="both"/>
        <w:rPr>
          <w:szCs w:val="28"/>
        </w:rPr>
      </w:pPr>
      <w:r>
        <w:rPr>
          <w:szCs w:val="28"/>
        </w:rPr>
        <w:tab/>
      </w:r>
      <w:r w:rsidRPr="004D551E">
        <w:rPr>
          <w:szCs w:val="28"/>
        </w:rPr>
        <w:t xml:space="preserve">Второй параметр можно обобщенно назвать "школьная среда". Это климат благополучия, традиции общения и </w:t>
      </w:r>
      <w:proofErr w:type="spellStart"/>
      <w:r w:rsidRPr="004D551E">
        <w:rPr>
          <w:szCs w:val="28"/>
        </w:rPr>
        <w:t>взаимоподдержки</w:t>
      </w:r>
      <w:proofErr w:type="spellEnd"/>
      <w:r w:rsidRPr="004D551E">
        <w:rPr>
          <w:szCs w:val="28"/>
        </w:rPr>
        <w:t xml:space="preserve"> участников образовательных отношений, и конечно, управленческая культура. Умение учителей адаптировать свое преподавание под нужны учащихся и справедливая оценка - важнейшие практики, обеспечивающие основу для качественного процесса обучения.  Какие программы дополнительного образования должны быть открыты в новом году, кто из педагогов должен отправиться на повышение квалификации, по каким программам? Сложившаяся система управления в школе, характеризуется уровнем </w:t>
      </w:r>
      <w:proofErr w:type="spellStart"/>
      <w:r w:rsidRPr="004D551E">
        <w:rPr>
          <w:szCs w:val="28"/>
        </w:rPr>
        <w:t>объективнсти</w:t>
      </w:r>
      <w:proofErr w:type="spellEnd"/>
      <w:r w:rsidRPr="004D551E">
        <w:rPr>
          <w:szCs w:val="28"/>
        </w:rPr>
        <w:t xml:space="preserve"> используемой во ВСОКО информации и уровнем обоснованности принимаемых решений. Другими словами, управление на основе данных предполагает, что есть установленный ФАКТ, который свидетельствует о том, что именно эта область требует именно такого управленческого воздействия. </w:t>
      </w:r>
    </w:p>
    <w:p w:rsidR="004D551E" w:rsidRPr="004D551E" w:rsidRDefault="004D551E" w:rsidP="004D551E">
      <w:pPr>
        <w:jc w:val="both"/>
        <w:rPr>
          <w:szCs w:val="28"/>
        </w:rPr>
      </w:pPr>
      <w:r>
        <w:rPr>
          <w:szCs w:val="28"/>
        </w:rPr>
        <w:tab/>
      </w:r>
      <w:r w:rsidRPr="004D551E">
        <w:rPr>
          <w:szCs w:val="28"/>
        </w:rPr>
        <w:t xml:space="preserve">В-третьих, это контекст. Не секрет, что школы и сами территории, где они находятся, могут отличаться по ряду особенностей, связанных с их образовательным потенциалом. Доступность посещения заведений дополнительного образования, культуры, возможность продолжать обучение на следующих ступенях в территориальной доступности - все это связано с образовательным потенциалом территории, где школа находится. В этом смысле, социальный статус контингента учащихся может быть показателем социально-экономического и культурного статуса территории, где расположена школа, он также является достаточно надежным предиктором результатов обучения. И именно с ним, как </w:t>
      </w:r>
      <w:proofErr w:type="spellStart"/>
      <w:r w:rsidRPr="004D551E">
        <w:rPr>
          <w:szCs w:val="28"/>
        </w:rPr>
        <w:t>извзестно</w:t>
      </w:r>
      <w:proofErr w:type="spellEnd"/>
      <w:r w:rsidRPr="004D551E">
        <w:rPr>
          <w:szCs w:val="28"/>
        </w:rPr>
        <w:t xml:space="preserve"> связано исследование феномена </w:t>
      </w:r>
      <w:proofErr w:type="spellStart"/>
      <w:r w:rsidRPr="004D551E">
        <w:rPr>
          <w:szCs w:val="28"/>
        </w:rPr>
        <w:t>резильентности</w:t>
      </w:r>
      <w:proofErr w:type="spellEnd"/>
      <w:r w:rsidRPr="004D551E">
        <w:rPr>
          <w:szCs w:val="28"/>
        </w:rPr>
        <w:t xml:space="preserve"> (о </w:t>
      </w:r>
      <w:proofErr w:type="gramStart"/>
      <w:r w:rsidRPr="004D551E">
        <w:rPr>
          <w:szCs w:val="28"/>
        </w:rPr>
        <w:t>которой</w:t>
      </w:r>
      <w:proofErr w:type="gramEnd"/>
      <w:r w:rsidRPr="004D551E">
        <w:rPr>
          <w:szCs w:val="28"/>
        </w:rPr>
        <w:t xml:space="preserve"> мы, конечно, подготовим отдельный пост). Важно одно - нет тех контекстных вызовов, с которыми школа не могла бы справиться за счет принимаемых и воплощаемых решений, но важно знать сущность проблемы, с которой нужно выстраивать работу.</w:t>
      </w:r>
    </w:p>
    <w:p w:rsidR="004D551E" w:rsidRPr="004D551E" w:rsidRDefault="004D551E" w:rsidP="004D551E">
      <w:pPr>
        <w:jc w:val="both"/>
        <w:rPr>
          <w:szCs w:val="28"/>
        </w:rPr>
      </w:pPr>
    </w:p>
    <w:p w:rsidR="004D551E" w:rsidRPr="004D551E" w:rsidRDefault="004D551E" w:rsidP="004D551E">
      <w:pPr>
        <w:jc w:val="both"/>
        <w:rPr>
          <w:szCs w:val="28"/>
        </w:rPr>
      </w:pPr>
      <w:r>
        <w:rPr>
          <w:szCs w:val="28"/>
        </w:rPr>
        <w:tab/>
      </w:r>
      <w:r w:rsidRPr="004D551E">
        <w:rPr>
          <w:szCs w:val="28"/>
        </w:rPr>
        <w:t xml:space="preserve">Работа в проекте "500+" строится вокруг повышения управленческой культуры и начинается </w:t>
      </w:r>
      <w:proofErr w:type="gramStart"/>
      <w:r w:rsidRPr="004D551E">
        <w:rPr>
          <w:szCs w:val="28"/>
        </w:rPr>
        <w:t>с</w:t>
      </w:r>
      <w:proofErr w:type="gramEnd"/>
      <w:r w:rsidRPr="004D551E">
        <w:rPr>
          <w:szCs w:val="28"/>
        </w:rPr>
        <w:t xml:space="preserve"> именно </w:t>
      </w:r>
      <w:proofErr w:type="gramStart"/>
      <w:r w:rsidRPr="004D551E">
        <w:rPr>
          <w:szCs w:val="28"/>
        </w:rPr>
        <w:t>с</w:t>
      </w:r>
      <w:proofErr w:type="gramEnd"/>
      <w:r w:rsidRPr="004D551E">
        <w:rPr>
          <w:szCs w:val="28"/>
        </w:rPr>
        <w:t xml:space="preserve"> анализа рисков снижения образовательных результатов. </w:t>
      </w:r>
    </w:p>
    <w:p w:rsidR="004D551E" w:rsidRPr="004D551E" w:rsidRDefault="004D551E" w:rsidP="004D551E">
      <w:pPr>
        <w:jc w:val="both"/>
        <w:rPr>
          <w:szCs w:val="28"/>
        </w:rPr>
      </w:pPr>
      <w:r>
        <w:rPr>
          <w:szCs w:val="28"/>
        </w:rPr>
        <w:tab/>
      </w:r>
      <w:r w:rsidRPr="004D551E">
        <w:rPr>
          <w:szCs w:val="28"/>
        </w:rPr>
        <w:t xml:space="preserve">Низкие образовательные результаты часто являются следствием негативного влияния факторов риска или их сочетания. Какие факторы риска влияют на образовательные результаты </w:t>
      </w:r>
      <w:proofErr w:type="gramStart"/>
      <w:r w:rsidRPr="004D551E">
        <w:rPr>
          <w:szCs w:val="28"/>
        </w:rPr>
        <w:t>обучающихся</w:t>
      </w:r>
      <w:proofErr w:type="gramEnd"/>
      <w:r w:rsidRPr="004D551E">
        <w:rPr>
          <w:szCs w:val="28"/>
        </w:rPr>
        <w:t xml:space="preserve">? Ниже предлагаем рассмотреть основные группы, особое внимание которым мы будем уделять в проекте. </w:t>
      </w:r>
    </w:p>
    <w:p w:rsidR="004D551E" w:rsidRPr="004D551E" w:rsidRDefault="006F3014" w:rsidP="004D551E">
      <w:pPr>
        <w:jc w:val="both"/>
        <w:rPr>
          <w:szCs w:val="28"/>
        </w:rPr>
      </w:pPr>
      <w:r>
        <w:rPr>
          <w:szCs w:val="28"/>
        </w:rPr>
        <w:tab/>
      </w:r>
      <w:r w:rsidR="004D551E" w:rsidRPr="004D551E">
        <w:rPr>
          <w:szCs w:val="28"/>
        </w:rPr>
        <w:t>1. Низкий уровень оснащения школы</w:t>
      </w:r>
    </w:p>
    <w:p w:rsidR="004D551E" w:rsidRPr="004D551E" w:rsidRDefault="004D551E" w:rsidP="004D551E">
      <w:pPr>
        <w:jc w:val="both"/>
        <w:rPr>
          <w:szCs w:val="28"/>
        </w:rPr>
      </w:pPr>
      <w:r w:rsidRPr="004D551E">
        <w:rPr>
          <w:szCs w:val="28"/>
        </w:rPr>
        <w:t>Школы, имеющие в нужном количестве компьютеры и доступ в Интернет, имеют образовательные преимущества по сравнению со школами с ресурсными дефицитами. Но</w:t>
      </w:r>
      <w:proofErr w:type="gramStart"/>
      <w:r w:rsidRPr="004D551E">
        <w:rPr>
          <w:szCs w:val="28"/>
        </w:rPr>
        <w:t>❗️ З</w:t>
      </w:r>
      <w:proofErr w:type="gramEnd"/>
      <w:r w:rsidRPr="004D551E">
        <w:rPr>
          <w:szCs w:val="28"/>
        </w:rPr>
        <w:t xml:space="preserve">десь важно помнить про компетенции учителей (см. предыдущий пост). </w:t>
      </w:r>
    </w:p>
    <w:p w:rsidR="004D551E" w:rsidRPr="004D551E" w:rsidRDefault="004D551E" w:rsidP="004D551E">
      <w:pPr>
        <w:jc w:val="both"/>
        <w:rPr>
          <w:szCs w:val="28"/>
        </w:rPr>
      </w:pPr>
    </w:p>
    <w:p w:rsidR="004D551E" w:rsidRPr="004D551E" w:rsidRDefault="006F3014" w:rsidP="004D551E">
      <w:pPr>
        <w:jc w:val="both"/>
        <w:rPr>
          <w:szCs w:val="28"/>
        </w:rPr>
      </w:pPr>
      <w:r>
        <w:rPr>
          <w:szCs w:val="28"/>
        </w:rPr>
        <w:tab/>
      </w:r>
      <w:r w:rsidR="004D551E" w:rsidRPr="004D551E">
        <w:rPr>
          <w:szCs w:val="28"/>
        </w:rPr>
        <w:t>2. Дефицит педагогических кадров</w:t>
      </w:r>
    </w:p>
    <w:p w:rsidR="004D551E" w:rsidRPr="004D551E" w:rsidRDefault="004D551E" w:rsidP="004D551E">
      <w:pPr>
        <w:jc w:val="both"/>
        <w:rPr>
          <w:szCs w:val="28"/>
        </w:rPr>
      </w:pPr>
      <w:r w:rsidRPr="004D551E">
        <w:rPr>
          <w:szCs w:val="28"/>
        </w:rPr>
        <w:t xml:space="preserve">Отсутствие специалистов-предметников может стать критическим вызовом для школы. Это также один из тех вызовов, работать с которым бывает эффективнее </w:t>
      </w:r>
      <w:proofErr w:type="gramStart"/>
      <w:r w:rsidRPr="004D551E">
        <w:rPr>
          <w:szCs w:val="28"/>
        </w:rPr>
        <w:t>при</w:t>
      </w:r>
      <w:proofErr w:type="gramEnd"/>
      <w:r w:rsidRPr="004D551E">
        <w:rPr>
          <w:szCs w:val="28"/>
        </w:rPr>
        <w:t xml:space="preserve"> поддержки муниципалитета. Однако есть примеры даже отдаленных школ, которые справляются с этим риском сами. </w:t>
      </w:r>
    </w:p>
    <w:p w:rsidR="004D551E" w:rsidRPr="004D551E" w:rsidRDefault="004D551E" w:rsidP="004D551E">
      <w:pPr>
        <w:jc w:val="both"/>
        <w:rPr>
          <w:szCs w:val="28"/>
        </w:rPr>
      </w:pPr>
    </w:p>
    <w:p w:rsidR="004D551E" w:rsidRPr="004D551E" w:rsidRDefault="006F3014" w:rsidP="004D551E">
      <w:pPr>
        <w:jc w:val="both"/>
        <w:rPr>
          <w:szCs w:val="28"/>
        </w:rPr>
      </w:pPr>
      <w:r>
        <w:rPr>
          <w:szCs w:val="28"/>
        </w:rPr>
        <w:tab/>
      </w:r>
      <w:r w:rsidR="004D551E" w:rsidRPr="004D551E">
        <w:rPr>
          <w:szCs w:val="28"/>
        </w:rPr>
        <w:t>3. Недостаточная предметная и методическая (и педагогическая) компетентность педагогических работников</w:t>
      </w:r>
    </w:p>
    <w:p w:rsidR="004D551E" w:rsidRPr="004D551E" w:rsidRDefault="004D551E" w:rsidP="004D551E">
      <w:pPr>
        <w:jc w:val="both"/>
        <w:rPr>
          <w:szCs w:val="28"/>
        </w:rPr>
      </w:pPr>
      <w:r w:rsidRPr="004D551E">
        <w:rPr>
          <w:szCs w:val="28"/>
        </w:rPr>
        <w:t xml:space="preserve">Низкий уровень сформированности профессиональных компетентностей учителей может проявляться не только в низких результатах обучения, но также в низком уровне мотивации обучающихся и других негативных результатах. </w:t>
      </w:r>
    </w:p>
    <w:p w:rsidR="004D551E" w:rsidRPr="004D551E" w:rsidRDefault="004D551E" w:rsidP="004D551E">
      <w:pPr>
        <w:jc w:val="both"/>
        <w:rPr>
          <w:szCs w:val="28"/>
        </w:rPr>
      </w:pPr>
    </w:p>
    <w:p w:rsidR="004D551E" w:rsidRPr="004D551E" w:rsidRDefault="006F3014" w:rsidP="004D551E">
      <w:pPr>
        <w:jc w:val="both"/>
        <w:rPr>
          <w:szCs w:val="28"/>
        </w:rPr>
      </w:pPr>
      <w:r>
        <w:rPr>
          <w:szCs w:val="28"/>
        </w:rPr>
        <w:tab/>
      </w:r>
      <w:r w:rsidR="004D551E" w:rsidRPr="004D551E">
        <w:rPr>
          <w:szCs w:val="28"/>
        </w:rPr>
        <w:t xml:space="preserve">4. Высокая доля </w:t>
      </w:r>
      <w:proofErr w:type="gramStart"/>
      <w:r w:rsidR="004D551E" w:rsidRPr="004D551E">
        <w:rPr>
          <w:szCs w:val="28"/>
        </w:rPr>
        <w:t>обучающихся</w:t>
      </w:r>
      <w:proofErr w:type="gramEnd"/>
      <w:r w:rsidR="004D551E" w:rsidRPr="004D551E">
        <w:rPr>
          <w:szCs w:val="28"/>
        </w:rPr>
        <w:t xml:space="preserve"> с рисками учебной </w:t>
      </w:r>
      <w:proofErr w:type="spellStart"/>
      <w:r w:rsidR="004D551E" w:rsidRPr="004D551E">
        <w:rPr>
          <w:szCs w:val="28"/>
        </w:rPr>
        <w:t>неуспешности</w:t>
      </w:r>
      <w:proofErr w:type="spellEnd"/>
    </w:p>
    <w:p w:rsidR="004D551E" w:rsidRPr="004D551E" w:rsidRDefault="004D551E" w:rsidP="004D551E">
      <w:pPr>
        <w:jc w:val="both"/>
        <w:rPr>
          <w:szCs w:val="28"/>
        </w:rPr>
      </w:pPr>
      <w:r w:rsidRPr="004D551E">
        <w:rPr>
          <w:szCs w:val="28"/>
        </w:rPr>
        <w:t xml:space="preserve">Риски учебной </w:t>
      </w:r>
      <w:proofErr w:type="spellStart"/>
      <w:r w:rsidRPr="004D551E">
        <w:rPr>
          <w:szCs w:val="28"/>
        </w:rPr>
        <w:t>неуспешности</w:t>
      </w:r>
      <w:proofErr w:type="spellEnd"/>
      <w:r w:rsidRPr="004D551E">
        <w:rPr>
          <w:szCs w:val="28"/>
        </w:rPr>
        <w:t xml:space="preserve"> развиваются из-за отсутствия системной работы с </w:t>
      </w:r>
      <w:proofErr w:type="gramStart"/>
      <w:r w:rsidRPr="004D551E">
        <w:rPr>
          <w:szCs w:val="28"/>
        </w:rPr>
        <w:t>неуспевающими</w:t>
      </w:r>
      <w:proofErr w:type="gramEnd"/>
      <w:r w:rsidRPr="004D551E">
        <w:rPr>
          <w:szCs w:val="28"/>
        </w:rPr>
        <w:t xml:space="preserve"> обучающимися и недостаточности поддержки, которую может оказать школа.</w:t>
      </w:r>
    </w:p>
    <w:p w:rsidR="004D551E" w:rsidRPr="004D551E" w:rsidRDefault="004D551E" w:rsidP="004D551E">
      <w:pPr>
        <w:jc w:val="both"/>
        <w:rPr>
          <w:szCs w:val="28"/>
        </w:rPr>
      </w:pPr>
    </w:p>
    <w:p w:rsidR="004D551E" w:rsidRPr="004D551E" w:rsidRDefault="006F3014" w:rsidP="004D551E">
      <w:pPr>
        <w:jc w:val="both"/>
        <w:rPr>
          <w:szCs w:val="28"/>
        </w:rPr>
      </w:pPr>
      <w:r>
        <w:rPr>
          <w:szCs w:val="28"/>
        </w:rPr>
        <w:tab/>
      </w:r>
      <w:r w:rsidR="004D551E" w:rsidRPr="004D551E">
        <w:rPr>
          <w:szCs w:val="28"/>
        </w:rPr>
        <w:t xml:space="preserve">5. Высокая доля </w:t>
      </w:r>
      <w:proofErr w:type="gramStart"/>
      <w:r w:rsidR="004D551E" w:rsidRPr="004D551E">
        <w:rPr>
          <w:szCs w:val="28"/>
        </w:rPr>
        <w:t>обучающихся</w:t>
      </w:r>
      <w:proofErr w:type="gramEnd"/>
      <w:r w:rsidR="004D551E" w:rsidRPr="004D551E">
        <w:rPr>
          <w:szCs w:val="28"/>
        </w:rPr>
        <w:t xml:space="preserve"> с ОВЗ  </w:t>
      </w:r>
    </w:p>
    <w:p w:rsidR="004D551E" w:rsidRPr="004D551E" w:rsidRDefault="004D551E" w:rsidP="004D551E">
      <w:pPr>
        <w:jc w:val="both"/>
        <w:rPr>
          <w:szCs w:val="28"/>
        </w:rPr>
      </w:pPr>
      <w:r w:rsidRPr="004D551E">
        <w:rPr>
          <w:szCs w:val="28"/>
        </w:rPr>
        <w:t>Отсутствие развитых компетенций по работе с учащимися с ОВЗ у учителей может проявляться в значительном повышении риска низких результатов при росте доли таких обучающихся.</w:t>
      </w:r>
    </w:p>
    <w:p w:rsidR="004D551E" w:rsidRPr="004D551E" w:rsidRDefault="004D551E" w:rsidP="004D551E">
      <w:pPr>
        <w:jc w:val="both"/>
        <w:rPr>
          <w:szCs w:val="28"/>
        </w:rPr>
      </w:pPr>
    </w:p>
    <w:p w:rsidR="004D551E" w:rsidRPr="004D551E" w:rsidRDefault="006F3014" w:rsidP="004D551E">
      <w:pPr>
        <w:jc w:val="both"/>
        <w:rPr>
          <w:szCs w:val="28"/>
        </w:rPr>
      </w:pPr>
      <w:r>
        <w:rPr>
          <w:szCs w:val="28"/>
        </w:rPr>
        <w:tab/>
      </w:r>
      <w:r w:rsidR="004D551E" w:rsidRPr="004D551E">
        <w:rPr>
          <w:szCs w:val="28"/>
        </w:rPr>
        <w:t>6. Низкое качество преодоления языковых и культурных барьеров</w:t>
      </w:r>
    </w:p>
    <w:p w:rsidR="004D551E" w:rsidRPr="004D551E" w:rsidRDefault="004D551E" w:rsidP="004D551E">
      <w:pPr>
        <w:jc w:val="both"/>
        <w:rPr>
          <w:szCs w:val="28"/>
        </w:rPr>
      </w:pPr>
      <w:r w:rsidRPr="004D551E">
        <w:rPr>
          <w:szCs w:val="28"/>
        </w:rPr>
        <w:t>Без дополнительной поддержки учащиеся, чей язык общения дома отличается от языка преподавания школьных предметов, могут испытывать значительные затруднения в обучении.</w:t>
      </w:r>
    </w:p>
    <w:p w:rsidR="004D551E" w:rsidRPr="004D551E" w:rsidRDefault="004D551E" w:rsidP="004D551E">
      <w:pPr>
        <w:jc w:val="both"/>
        <w:rPr>
          <w:szCs w:val="28"/>
        </w:rPr>
      </w:pPr>
    </w:p>
    <w:p w:rsidR="004D551E" w:rsidRPr="004D551E" w:rsidRDefault="006F3014" w:rsidP="004D551E">
      <w:pPr>
        <w:jc w:val="both"/>
        <w:rPr>
          <w:szCs w:val="28"/>
        </w:rPr>
      </w:pPr>
      <w:r>
        <w:rPr>
          <w:szCs w:val="28"/>
        </w:rPr>
        <w:tab/>
      </w:r>
      <w:r w:rsidR="004D551E" w:rsidRPr="004D551E">
        <w:rPr>
          <w:szCs w:val="28"/>
        </w:rPr>
        <w:t>7. Пониженный уровень школьного благополучия</w:t>
      </w:r>
    </w:p>
    <w:p w:rsidR="004D551E" w:rsidRPr="004D551E" w:rsidRDefault="006F3014" w:rsidP="004D551E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="004D551E" w:rsidRPr="004D551E">
        <w:rPr>
          <w:szCs w:val="28"/>
        </w:rPr>
        <w:t xml:space="preserve">Композиция школьного контингента в сочетании с низким потенциалом школьной среды, может оказывать негативное влияние на школьные результаты. </w:t>
      </w:r>
    </w:p>
    <w:p w:rsidR="004D551E" w:rsidRPr="004D551E" w:rsidRDefault="004D551E" w:rsidP="004D551E">
      <w:pPr>
        <w:jc w:val="both"/>
        <w:rPr>
          <w:szCs w:val="28"/>
        </w:rPr>
      </w:pPr>
    </w:p>
    <w:p w:rsidR="004D551E" w:rsidRPr="004D551E" w:rsidRDefault="006F3014" w:rsidP="004D551E">
      <w:pPr>
        <w:jc w:val="both"/>
        <w:rPr>
          <w:szCs w:val="28"/>
        </w:rPr>
      </w:pPr>
      <w:r>
        <w:rPr>
          <w:szCs w:val="28"/>
        </w:rPr>
        <w:tab/>
      </w:r>
      <w:r w:rsidR="004D551E" w:rsidRPr="004D551E">
        <w:rPr>
          <w:szCs w:val="28"/>
        </w:rPr>
        <w:t xml:space="preserve">8. Низкая учебная мотивация </w:t>
      </w:r>
      <w:proofErr w:type="gramStart"/>
      <w:r w:rsidR="004D551E" w:rsidRPr="004D551E">
        <w:rPr>
          <w:szCs w:val="28"/>
        </w:rPr>
        <w:t>обучающихся</w:t>
      </w:r>
      <w:proofErr w:type="gramEnd"/>
    </w:p>
    <w:p w:rsidR="004D551E" w:rsidRPr="004D551E" w:rsidRDefault="006F3014" w:rsidP="004D551E">
      <w:pPr>
        <w:jc w:val="both"/>
        <w:rPr>
          <w:szCs w:val="28"/>
        </w:rPr>
      </w:pPr>
      <w:r>
        <w:rPr>
          <w:szCs w:val="28"/>
        </w:rPr>
        <w:tab/>
      </w:r>
      <w:r w:rsidR="004D551E" w:rsidRPr="004D551E">
        <w:rPr>
          <w:szCs w:val="28"/>
        </w:rPr>
        <w:t xml:space="preserve">Часто низкая мотивация может быть следствием непрофессиональной работы педагога, с другой стороны, причиной низкой мотивации может быть образ мышления школьника, сформировавшийся под влиянием внешней среды, например, под необоснованным давлением родителей в борьбе за хорошие отметки. </w:t>
      </w:r>
    </w:p>
    <w:p w:rsidR="004D551E" w:rsidRPr="004D551E" w:rsidRDefault="004D551E" w:rsidP="004D551E">
      <w:pPr>
        <w:jc w:val="both"/>
        <w:rPr>
          <w:szCs w:val="28"/>
        </w:rPr>
      </w:pPr>
    </w:p>
    <w:p w:rsidR="004D551E" w:rsidRPr="004D551E" w:rsidRDefault="006F3014" w:rsidP="004D551E">
      <w:pPr>
        <w:jc w:val="both"/>
        <w:rPr>
          <w:szCs w:val="28"/>
        </w:rPr>
      </w:pPr>
      <w:r>
        <w:rPr>
          <w:szCs w:val="28"/>
        </w:rPr>
        <w:tab/>
      </w:r>
      <w:r w:rsidR="004D551E" w:rsidRPr="004D551E">
        <w:rPr>
          <w:szCs w:val="28"/>
        </w:rPr>
        <w:t>9. Низкий уровень дисциплины в классе</w:t>
      </w:r>
    </w:p>
    <w:p w:rsidR="004D551E" w:rsidRPr="004D551E" w:rsidRDefault="006F3014" w:rsidP="004D551E">
      <w:pPr>
        <w:jc w:val="both"/>
        <w:rPr>
          <w:szCs w:val="28"/>
        </w:rPr>
      </w:pPr>
      <w:r>
        <w:rPr>
          <w:szCs w:val="28"/>
        </w:rPr>
        <w:tab/>
      </w:r>
      <w:proofErr w:type="gramStart"/>
      <w:r w:rsidR="004D551E" w:rsidRPr="004D551E">
        <w:rPr>
          <w:szCs w:val="28"/>
        </w:rPr>
        <w:t>Конечно</w:t>
      </w:r>
      <w:proofErr w:type="gramEnd"/>
      <w:r w:rsidR="004D551E" w:rsidRPr="004D551E">
        <w:rPr>
          <w:szCs w:val="28"/>
        </w:rPr>
        <w:t xml:space="preserve"> причины плохой дисциплины могут иметь ситуативный характер – плохая дисциплина на конкретном уроке, но систематические проблемы с дисциплиной указывают на проблемы с педагогическими компетенциями, низкий уровень профессиональной поддержки </w:t>
      </w:r>
      <w:proofErr w:type="spellStart"/>
      <w:r w:rsidR="004D551E" w:rsidRPr="004D551E">
        <w:rPr>
          <w:szCs w:val="28"/>
        </w:rPr>
        <w:t>учителми</w:t>
      </w:r>
      <w:proofErr w:type="spellEnd"/>
      <w:r w:rsidR="004D551E" w:rsidRPr="004D551E">
        <w:rPr>
          <w:szCs w:val="28"/>
        </w:rPr>
        <w:t xml:space="preserve"> друг друга, что, в свою очередь, влечет за собой низкие образовательные результаты</w:t>
      </w:r>
    </w:p>
    <w:p w:rsidR="004D551E" w:rsidRPr="004D551E" w:rsidRDefault="004D551E" w:rsidP="004D551E">
      <w:pPr>
        <w:jc w:val="both"/>
        <w:rPr>
          <w:szCs w:val="28"/>
        </w:rPr>
      </w:pPr>
    </w:p>
    <w:p w:rsidR="004D551E" w:rsidRPr="004D551E" w:rsidRDefault="006F3014" w:rsidP="004D551E">
      <w:pPr>
        <w:jc w:val="both"/>
        <w:rPr>
          <w:szCs w:val="28"/>
        </w:rPr>
      </w:pPr>
      <w:r>
        <w:rPr>
          <w:szCs w:val="28"/>
        </w:rPr>
        <w:tab/>
      </w:r>
      <w:r w:rsidR="004D551E" w:rsidRPr="004D551E">
        <w:rPr>
          <w:szCs w:val="28"/>
        </w:rPr>
        <w:t>10. Низкий уровень вовлеченности родителей</w:t>
      </w:r>
    </w:p>
    <w:p w:rsidR="004D551E" w:rsidRDefault="00954AC5" w:rsidP="004D551E">
      <w:pPr>
        <w:jc w:val="both"/>
        <w:rPr>
          <w:szCs w:val="28"/>
        </w:rPr>
      </w:pPr>
      <w:r>
        <w:rPr>
          <w:szCs w:val="28"/>
        </w:rPr>
        <w:tab/>
      </w:r>
      <w:r w:rsidR="004D551E" w:rsidRPr="004D551E">
        <w:rPr>
          <w:szCs w:val="28"/>
        </w:rPr>
        <w:t xml:space="preserve">Часто родители не знают о доступных способах поддержания учебного процесса своих детей, а школа не может обеспечить должного уровня консультаций. </w:t>
      </w:r>
      <w:proofErr w:type="spellStart"/>
      <w:r w:rsidR="004D551E" w:rsidRPr="004D551E">
        <w:rPr>
          <w:szCs w:val="28"/>
        </w:rPr>
        <w:t>Отсутсвие</w:t>
      </w:r>
      <w:proofErr w:type="spellEnd"/>
      <w:r w:rsidR="004D551E" w:rsidRPr="004D551E">
        <w:rPr>
          <w:szCs w:val="28"/>
        </w:rPr>
        <w:t xml:space="preserve"> коммуникации между школой и родителями быстро приводит к негативным последствиям.</w:t>
      </w:r>
    </w:p>
    <w:p w:rsidR="004D551E" w:rsidRDefault="004D551E" w:rsidP="00865D21">
      <w:pPr>
        <w:jc w:val="both"/>
        <w:rPr>
          <w:szCs w:val="28"/>
        </w:rPr>
      </w:pPr>
    </w:p>
    <w:p w:rsidR="004D551E" w:rsidRDefault="004D551E" w:rsidP="00865D21">
      <w:pPr>
        <w:jc w:val="both"/>
        <w:rPr>
          <w:szCs w:val="28"/>
        </w:rPr>
      </w:pPr>
    </w:p>
    <w:p w:rsidR="004D551E" w:rsidRPr="00C60740" w:rsidRDefault="004D551E" w:rsidP="00865D21">
      <w:pPr>
        <w:jc w:val="both"/>
        <w:rPr>
          <w:szCs w:val="28"/>
        </w:rPr>
      </w:pPr>
    </w:p>
    <w:sectPr w:rsidR="004D551E" w:rsidRPr="00C60740" w:rsidSect="00E96BBC">
      <w:head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326" w:rsidRDefault="00E77326" w:rsidP="00E96BBC">
      <w:r>
        <w:separator/>
      </w:r>
    </w:p>
  </w:endnote>
  <w:endnote w:type="continuationSeparator" w:id="0">
    <w:p w:rsidR="00E77326" w:rsidRDefault="00E77326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326" w:rsidRDefault="00E77326" w:rsidP="00E96BBC">
      <w:r>
        <w:separator/>
      </w:r>
    </w:p>
  </w:footnote>
  <w:footnote w:type="continuationSeparator" w:id="0">
    <w:p w:rsidR="00E77326" w:rsidRDefault="00E77326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BCC">
          <w:rPr>
            <w:noProof/>
          </w:rPr>
          <w:t>7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14F4B"/>
    <w:rsid w:val="000303F5"/>
    <w:rsid w:val="000667EE"/>
    <w:rsid w:val="00070CC4"/>
    <w:rsid w:val="000719C4"/>
    <w:rsid w:val="00075F7B"/>
    <w:rsid w:val="000823CB"/>
    <w:rsid w:val="00091AE1"/>
    <w:rsid w:val="000A1697"/>
    <w:rsid w:val="000C77F1"/>
    <w:rsid w:val="001714C9"/>
    <w:rsid w:val="00195F57"/>
    <w:rsid w:val="001A10AA"/>
    <w:rsid w:val="001A597C"/>
    <w:rsid w:val="001A6208"/>
    <w:rsid w:val="001C5966"/>
    <w:rsid w:val="001C72C1"/>
    <w:rsid w:val="001E2F66"/>
    <w:rsid w:val="001F3413"/>
    <w:rsid w:val="002412D5"/>
    <w:rsid w:val="0028255A"/>
    <w:rsid w:val="002A4C05"/>
    <w:rsid w:val="002C13B9"/>
    <w:rsid w:val="002C6CD2"/>
    <w:rsid w:val="002D02A4"/>
    <w:rsid w:val="002D1D88"/>
    <w:rsid w:val="002E4791"/>
    <w:rsid w:val="002F6571"/>
    <w:rsid w:val="002F7A15"/>
    <w:rsid w:val="00302B97"/>
    <w:rsid w:val="00307A79"/>
    <w:rsid w:val="00314C0F"/>
    <w:rsid w:val="00330A80"/>
    <w:rsid w:val="00333E0D"/>
    <w:rsid w:val="0035798B"/>
    <w:rsid w:val="0037242A"/>
    <w:rsid w:val="00385A26"/>
    <w:rsid w:val="003D6FC4"/>
    <w:rsid w:val="003E63D5"/>
    <w:rsid w:val="00403AC0"/>
    <w:rsid w:val="00441E76"/>
    <w:rsid w:val="004431AD"/>
    <w:rsid w:val="00474875"/>
    <w:rsid w:val="004C055C"/>
    <w:rsid w:val="004D551E"/>
    <w:rsid w:val="004D6068"/>
    <w:rsid w:val="004D6B75"/>
    <w:rsid w:val="004F351E"/>
    <w:rsid w:val="004F546F"/>
    <w:rsid w:val="00500025"/>
    <w:rsid w:val="0050255A"/>
    <w:rsid w:val="0053233E"/>
    <w:rsid w:val="0054049F"/>
    <w:rsid w:val="0054315C"/>
    <w:rsid w:val="00552C33"/>
    <w:rsid w:val="00595D30"/>
    <w:rsid w:val="005A21BA"/>
    <w:rsid w:val="005B4CDC"/>
    <w:rsid w:val="005E2C3F"/>
    <w:rsid w:val="005E3549"/>
    <w:rsid w:val="005F1101"/>
    <w:rsid w:val="005F3D2E"/>
    <w:rsid w:val="00606733"/>
    <w:rsid w:val="00612C6E"/>
    <w:rsid w:val="006164FE"/>
    <w:rsid w:val="00626976"/>
    <w:rsid w:val="00646A38"/>
    <w:rsid w:val="00666E38"/>
    <w:rsid w:val="00674A3F"/>
    <w:rsid w:val="006845A2"/>
    <w:rsid w:val="0069264F"/>
    <w:rsid w:val="006B11AE"/>
    <w:rsid w:val="006C75C9"/>
    <w:rsid w:val="006F3014"/>
    <w:rsid w:val="00732B94"/>
    <w:rsid w:val="0079351F"/>
    <w:rsid w:val="00795BCC"/>
    <w:rsid w:val="007A4F30"/>
    <w:rsid w:val="007A58B2"/>
    <w:rsid w:val="007C2E43"/>
    <w:rsid w:val="007E6BF0"/>
    <w:rsid w:val="0081595B"/>
    <w:rsid w:val="008370CD"/>
    <w:rsid w:val="008444C2"/>
    <w:rsid w:val="00844501"/>
    <w:rsid w:val="00865D21"/>
    <w:rsid w:val="00874B92"/>
    <w:rsid w:val="008C07F0"/>
    <w:rsid w:val="008C498C"/>
    <w:rsid w:val="008D2DF0"/>
    <w:rsid w:val="008E2044"/>
    <w:rsid w:val="00913FE5"/>
    <w:rsid w:val="00924D08"/>
    <w:rsid w:val="0094380B"/>
    <w:rsid w:val="00954AC5"/>
    <w:rsid w:val="00985F20"/>
    <w:rsid w:val="009B416B"/>
    <w:rsid w:val="009D09EE"/>
    <w:rsid w:val="00A02563"/>
    <w:rsid w:val="00A07D66"/>
    <w:rsid w:val="00A11E92"/>
    <w:rsid w:val="00A274B1"/>
    <w:rsid w:val="00A33E41"/>
    <w:rsid w:val="00A356CA"/>
    <w:rsid w:val="00A81C1D"/>
    <w:rsid w:val="00A97F52"/>
    <w:rsid w:val="00AE26E7"/>
    <w:rsid w:val="00AE5CA7"/>
    <w:rsid w:val="00AE6A4E"/>
    <w:rsid w:val="00AF5AC4"/>
    <w:rsid w:val="00B13F6B"/>
    <w:rsid w:val="00B14A2F"/>
    <w:rsid w:val="00B41210"/>
    <w:rsid w:val="00B42AED"/>
    <w:rsid w:val="00B55BAE"/>
    <w:rsid w:val="00B8374F"/>
    <w:rsid w:val="00B851E5"/>
    <w:rsid w:val="00BA20BD"/>
    <w:rsid w:val="00BA5514"/>
    <w:rsid w:val="00BB2C50"/>
    <w:rsid w:val="00BC5521"/>
    <w:rsid w:val="00BE5092"/>
    <w:rsid w:val="00BF4EBB"/>
    <w:rsid w:val="00C061CD"/>
    <w:rsid w:val="00C12A92"/>
    <w:rsid w:val="00C20001"/>
    <w:rsid w:val="00C21F6D"/>
    <w:rsid w:val="00C4246B"/>
    <w:rsid w:val="00C60740"/>
    <w:rsid w:val="00CA08DB"/>
    <w:rsid w:val="00CC49E3"/>
    <w:rsid w:val="00D13B20"/>
    <w:rsid w:val="00D304AF"/>
    <w:rsid w:val="00D30FF8"/>
    <w:rsid w:val="00D4486F"/>
    <w:rsid w:val="00D47F33"/>
    <w:rsid w:val="00D615A5"/>
    <w:rsid w:val="00D84436"/>
    <w:rsid w:val="00DA538C"/>
    <w:rsid w:val="00DB1A9C"/>
    <w:rsid w:val="00DD1572"/>
    <w:rsid w:val="00DD356E"/>
    <w:rsid w:val="00E20083"/>
    <w:rsid w:val="00E25767"/>
    <w:rsid w:val="00E374F8"/>
    <w:rsid w:val="00E572DD"/>
    <w:rsid w:val="00E70081"/>
    <w:rsid w:val="00E7212D"/>
    <w:rsid w:val="00E729C6"/>
    <w:rsid w:val="00E77326"/>
    <w:rsid w:val="00E777A6"/>
    <w:rsid w:val="00E96BBC"/>
    <w:rsid w:val="00EC3485"/>
    <w:rsid w:val="00EE3FFE"/>
    <w:rsid w:val="00EE59F8"/>
    <w:rsid w:val="00EE7354"/>
    <w:rsid w:val="00EF2BC1"/>
    <w:rsid w:val="00EF6B88"/>
    <w:rsid w:val="00F03CE8"/>
    <w:rsid w:val="00F44274"/>
    <w:rsid w:val="00F9165F"/>
    <w:rsid w:val="00F93891"/>
    <w:rsid w:val="00F94D2F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3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5D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5D21"/>
    <w:rPr>
      <w:rFonts w:ascii="Tahoma" w:eastAsia="Times New Roman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Дяксул Лидия Викторовна</cp:lastModifiedBy>
  <cp:revision>93</cp:revision>
  <cp:lastPrinted>2021-08-24T01:07:00Z</cp:lastPrinted>
  <dcterms:created xsi:type="dcterms:W3CDTF">2016-08-31T05:07:00Z</dcterms:created>
  <dcterms:modified xsi:type="dcterms:W3CDTF">2022-01-14T05:23:00Z</dcterms:modified>
</cp:coreProperties>
</file>